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49" w:type="dxa"/>
            <w:vAlign w:val="top"/>
            <w:textDirection w:val="lrTb"/>
            <w:noWrap w:val="false"/>
          </w:tcPr>
          <w:p>
            <w:pPr>
              <w:pStyle w:val="883"/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ge">
                        <wp:posOffset>-130174</wp:posOffset>
                      </wp:positionV>
                      <wp:extent cx="596265" cy="742950"/>
                      <wp:effectExtent l="0" t="0" r="0" b="0"/>
                      <wp:wrapNone/>
                      <wp:docPr id="1" name="_x0000_s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90.00pt;mso-position-horizontal:absolute;mso-position-vertical-relative:page;margin-top:-10.25pt;mso-position-vertical:absolute;width:46.95pt;height:58.50pt;mso-wrap-distance-left:9.00pt;mso-wrap-distance-top:0.00pt;mso-wrap-distance-right:9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pStyle w:val="883"/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885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3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pStyle w:val="883"/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pStyle w:val="883"/>
              <w:jc w:val="center"/>
              <w:keepNext/>
              <w:rPr>
                <w:b/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</w:p>
          <w:p>
            <w:pPr>
              <w:pStyle w:val="883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83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83"/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pStyle w:val="883"/>
              <w:jc w:val="center"/>
              <w:tabs>
                <w:tab w:val="left" w:pos="4145" w:leader="none"/>
              </w:tabs>
              <w:rPr>
                <w:sz w:val="18"/>
                <w:szCs w:val="20"/>
              </w:rPr>
            </w:pPr>
            <w:r>
              <w:rPr>
                <w:sz w:val="18"/>
              </w:rPr>
              <w:t xml:space="preserve">ул. Кирова, 48/1, г. Артем, Приморский край, 692760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pStyle w:val="883"/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 +7 (42337) 432-13, факс +7 (42337) 432-13,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83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en-US"/>
              </w:rPr>
              <w:t xml:space="preserve">adm</w:t>
            </w:r>
            <w:r>
              <w:rPr>
                <w:sz w:val="20"/>
                <w:szCs w:val="20"/>
              </w:rPr>
              <w:t xml:space="preserve">@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  <w:t xml:space="preserve">;  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gosuslugi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83"/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</w:t>
            </w:r>
            <w:r>
              <w:rPr>
                <w:szCs w:val="20"/>
              </w:rPr>
              <w:t xml:space="preserve">№</w:t>
            </w:r>
            <w:r>
              <w:t xml:space="preserve"> _____________</w:t>
            </w:r>
            <w:r/>
          </w:p>
          <w:p>
            <w:pPr>
              <w:pStyle w:val="883"/>
              <w:jc w:val="center"/>
              <w:keepNext/>
              <w:spacing w:line="360" w:lineRule="auto"/>
              <w:tabs>
                <w:tab w:val="left" w:pos="4145" w:leader="none"/>
              </w:tabs>
              <w:rPr>
                <w:bCs/>
                <w:szCs w:val="20"/>
              </w:rPr>
              <w:outlineLvl w:val="0"/>
            </w:pPr>
            <w:r>
              <w:rPr>
                <w:bCs/>
                <w:szCs w:val="20"/>
              </w:rPr>
              <w:t xml:space="preserve"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 xml:space="preserve">_____________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pStyle w:val="883"/>
              <w:tabs>
                <w:tab w:val="left" w:pos="4145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80" w:type="dxa"/>
            <w:vAlign w:val="top"/>
            <w:textDirection w:val="lrTb"/>
            <w:noWrap w:val="false"/>
          </w:tcPr>
          <w:p>
            <w:pPr>
              <w:pStyle w:val="883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51" w:type="dxa"/>
            <w:vAlign w:val="top"/>
            <w:textDirection w:val="lrTb"/>
            <w:noWrap w:val="false"/>
          </w:tcPr>
          <w:p>
            <w:pPr>
              <w:pStyle w:val="883"/>
              <w:jc w:val="center"/>
            </w:pPr>
            <w:r/>
            <w:r/>
          </w:p>
          <w:p>
            <w:pPr>
              <w:pStyle w:val="883"/>
              <w:jc w:val="center"/>
            </w:pPr>
            <w:r/>
            <w:r/>
          </w:p>
          <w:p>
            <w:pPr>
              <w:pStyle w:val="883"/>
              <w:jc w:val="center"/>
            </w:pPr>
            <w:r/>
            <w:r/>
          </w:p>
          <w:p>
            <w:pPr>
              <w:pStyle w:val="883"/>
              <w:jc w:val="center"/>
            </w:pPr>
            <w:r/>
            <w:r/>
          </w:p>
          <w:p>
            <w:pPr>
              <w:pStyle w:val="883"/>
              <w:jc w:val="center"/>
            </w:pPr>
            <w:r>
              <w:t xml:space="preserve">В Думу Артемовского городского округа</w:t>
            </w:r>
            <w:r/>
          </w:p>
          <w:p>
            <w:pPr>
              <w:pStyle w:val="883"/>
              <w:jc w:val="center"/>
            </w:pPr>
            <w:r/>
            <w:r/>
          </w:p>
        </w:tc>
      </w:tr>
    </w:tbl>
    <w:p>
      <w:pPr>
        <w:pStyle w:val="883"/>
        <w:ind w:firstLine="567"/>
        <w:jc w:val="both"/>
      </w:pPr>
      <w:r>
        <w:t xml:space="preserve">ПОЯСНИТЕЛЬНАЯ ЗАПИСКА </w:t>
      </w:r>
      <w:r>
        <w:t xml:space="preserve">к проекту решения Думы Артемовского городского округа «</w:t>
      </w:r>
      <w:r>
        <w:t xml:space="preserve">О</w:t>
      </w:r>
      <w:r>
        <w:t xml:space="preserve">б утверждении </w:t>
      </w:r>
      <w:r>
        <w:t xml:space="preserve"> </w:t>
      </w:r>
      <w:r>
        <w:t xml:space="preserve">перечня</w:t>
      </w:r>
      <w:r>
        <w:t xml:space="preserve"> имущества, предлагаем</w:t>
      </w:r>
      <w:r>
        <w:t xml:space="preserve">ого</w:t>
      </w:r>
      <w:r>
        <w:t xml:space="preserve"> к передаче из собственности </w:t>
      </w:r>
      <w:r>
        <w:t xml:space="preserve">общества с ограниченной ответственностью специализированный застройщик «</w:t>
      </w:r>
      <w:r>
        <w:rPr>
          <w:szCs w:val="24"/>
        </w:rPr>
        <w:t xml:space="preserve">КМГ Строй</w:t>
      </w:r>
      <w:r>
        <w:t xml:space="preserve">»</w:t>
      </w:r>
      <w:r>
        <w:t xml:space="preserve"> </w:t>
      </w:r>
      <w:r>
        <w:t xml:space="preserve">в собственность Артёмовского городского округа</w:t>
      </w:r>
      <w:r>
        <w:t xml:space="preserve">».</w:t>
      </w:r>
      <w:r/>
    </w:p>
    <w:p>
      <w:pPr>
        <w:pStyle w:val="883"/>
        <w:jc w:val="both"/>
        <w:spacing w:line="360" w:lineRule="auto"/>
      </w:pPr>
      <w:r/>
      <w:r/>
    </w:p>
    <w:p>
      <w:pPr>
        <w:pStyle w:val="883"/>
        <w:ind w:firstLine="708"/>
        <w:jc w:val="both"/>
        <w:spacing w:line="360" w:lineRule="auto"/>
        <w:widowControl w:val="off"/>
      </w:pPr>
      <w:r>
        <w:t xml:space="preserve">В администрацию Артемовского городского округа </w:t>
      </w:r>
      <w:r>
        <w:t xml:space="preserve">поступил</w:t>
      </w:r>
      <w:r>
        <w:t xml:space="preserve">и</w:t>
      </w:r>
      <w:r>
        <w:t xml:space="preserve"> обраще</w:t>
      </w:r>
      <w:r>
        <w:t xml:space="preserve">ни</w:t>
      </w:r>
      <w:r>
        <w:t xml:space="preserve">я</w:t>
      </w:r>
      <w:r>
        <w:t xml:space="preserve"> </w:t>
      </w:r>
      <w:r>
        <w:t xml:space="preserve">общества с ограниченной ответственностью Специализированный застройщик «</w:t>
      </w:r>
      <w:r>
        <w:t xml:space="preserve">АРТЕМСТРОЙ-ДВ</w:t>
      </w:r>
      <w:r>
        <w:t xml:space="preserve">»</w:t>
      </w:r>
      <w: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от 29.06.2026 № 376</w:t>
      </w:r>
      <w:r>
        <w:t xml:space="preserve">,</w:t>
      </w:r>
      <w:r>
        <w:t xml:space="preserve"> </w:t>
      </w:r>
      <w:r>
        <w:t xml:space="preserve">с просьбой рассмотреть вопрос о приеме в муниципальную собственность Артемовского городского </w:t>
      </w:r>
      <w:r>
        <w:t xml:space="preserve">сооружение</w:t>
      </w:r>
      <w:r>
        <w:t xml:space="preserve"> коммунального хозяйства: </w:t>
      </w:r>
      <w:r/>
    </w:p>
    <w:p>
      <w:pPr>
        <w:pStyle w:val="723"/>
        <w:numPr>
          <w:ilvl w:val="0"/>
          <w:numId w:val="5"/>
        </w:numPr>
        <w:ind w:left="0" w:right="0" w:firstLine="709"/>
        <w:jc w:val="both"/>
        <w:spacing w:line="360" w:lineRule="auto"/>
        <w:widowControl w:val="off"/>
        <w:rPr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сооружение коммунального хозяйства, расположенное по адресу: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Российская Федерация, Приморский край, Артемовский городской округ, Артем город, Красноармейская улица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sz w:val="24"/>
          <w:szCs w:val="24"/>
        </w:rPr>
        <w:t xml:space="preserve"> протяженностью 163 метра</w:t>
      </w:r>
      <w:r>
        <w:rPr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кадастровым номером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25:27:030202: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6126</w:t>
      </w:r>
      <w:r>
        <w:rPr>
          <w:sz w:val="24"/>
          <w:szCs w:val="24"/>
        </w:rPr>
        <w:t xml:space="preserve">,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23"/>
        <w:numPr>
          <w:ilvl w:val="0"/>
          <w:numId w:val="5"/>
        </w:numPr>
        <w:ind w:left="0" w:firstLine="709"/>
        <w:spacing w:line="360" w:lineRule="auto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сооружение канализации,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расположенное по адресу: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Российская Федерация, Приморский край, Артемовский городской округ, Артем город, Красноармейская улица, протяженностью 115 метров </w:t>
      </w:r>
      <w:r>
        <w:t xml:space="preserve">с кадастровым номером</w:t>
      </w:r>
      <w: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25:27:030202: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6127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3"/>
        <w:ind w:firstLine="708"/>
        <w:jc w:val="both"/>
        <w:spacing w:line="360" w:lineRule="auto"/>
        <w:widowControl w:val="off"/>
      </w:pPr>
      <w:r>
        <w:t xml:space="preserve">Со</w:t>
      </w:r>
      <w:r>
        <w:t xml:space="preserve">гласно п. 11 ст.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</w:t>
      </w:r>
      <w:r>
        <w:t xml:space="preserve">несении изменений и дополнений в Федерал</w:t>
      </w:r>
      <w:r>
        <w:t xml:space="preserve">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если указанное </w:t>
      </w:r>
      <w:r>
        <w:t xml:space="preserve">имущество</w:t>
      </w:r>
      <w:r>
        <w:t xml:space="preserve"> используется органами местного самоуправления для целей, установленных</w:t>
      </w:r>
      <w:r>
        <w:t xml:space="preserve"> в соответствии с настоящим</w:t>
      </w:r>
      <w:r>
        <w:t xml:space="preserve"> </w:t>
      </w:r>
      <w:r>
        <w:t xml:space="preserve">Федеральным </w:t>
      </w:r>
      <w:r>
        <w:t xml:space="preserve">законом и ст. 50 Феде</w:t>
      </w:r>
      <w:r>
        <w:t xml:space="preserve">рального закона от 06.10.2003 № </w:t>
      </w:r>
      <w:r>
        <w:t xml:space="preserve">131-ФЗ «Об общих принципах организации местного самоуправления в Российской Федерации», то </w:t>
      </w:r>
      <w:r>
        <w:t xml:space="preserve">имущество</w:t>
      </w:r>
      <w:r>
        <w:t xml:space="preserve"> подлежит безвозмездной передаче в муниципальную собственность.</w:t>
      </w:r>
      <w:r/>
    </w:p>
    <w:p>
      <w:pPr>
        <w:pStyle w:val="883"/>
        <w:ind w:firstLine="708"/>
        <w:jc w:val="both"/>
        <w:spacing w:line="360" w:lineRule="auto"/>
        <w:widowControl w:val="off"/>
      </w:pPr>
      <w:r>
        <w:t xml:space="preserve">Указанные</w:t>
      </w:r>
      <w:r>
        <w:t xml:space="preserve"> в обращении внутриплощадочные сети</w:t>
      </w:r>
      <w:r>
        <w:t xml:space="preserve"> подлежа</w:t>
      </w:r>
      <w:r>
        <w:t xml:space="preserve">т </w:t>
      </w:r>
      <w:r>
        <w:t xml:space="preserve">включению </w:t>
      </w:r>
      <w:r>
        <w:t xml:space="preserve">в муниципальную собственность Артемовского городского округа и дальнейшей передаче на обслуживание КГУП «Приморский водоканал».</w:t>
      </w:r>
      <w:r/>
    </w:p>
    <w:p>
      <w:pPr>
        <w:pStyle w:val="883"/>
        <w:ind w:firstLine="708"/>
        <w:jc w:val="both"/>
        <w:spacing w:line="360" w:lineRule="auto"/>
        <w:widowControl w:val="off"/>
      </w:pPr>
      <w:r>
        <w:t xml:space="preserve">В связи с тем, что согласно п. 18 ст. 22 Устава Артемовского городского округа принятие решения </w:t>
      </w:r>
      <w:r>
        <w:t xml:space="preserve">об утверждении перечня имущества, предлагаемого к передаче</w:t>
      </w:r>
      <w:r>
        <w:t xml:space="preserve"> в муниципальную собственность относится к исключительной компетенции Думы Артемовского городского округа, предлагаем принять соответствующее решение.</w:t>
      </w:r>
      <w:r/>
    </w:p>
    <w:p>
      <w:pPr>
        <w:pStyle w:val="883"/>
        <w:ind w:firstLine="540"/>
        <w:jc w:val="both"/>
      </w:pPr>
      <w:r/>
      <w:r/>
    </w:p>
    <w:p>
      <w:pPr>
        <w:pStyle w:val="883"/>
        <w:ind w:firstLine="540"/>
        <w:jc w:val="both"/>
      </w:pPr>
      <w:r/>
      <w:r/>
    </w:p>
    <w:p>
      <w:pPr>
        <w:pStyle w:val="892"/>
        <w:spacing w:line="240" w:lineRule="auto"/>
      </w:pPr>
      <w:r/>
      <w:r/>
    </w:p>
    <w:p>
      <w:pPr>
        <w:pStyle w:val="892"/>
        <w:ind w:firstLine="0"/>
        <w:spacing w:line="240" w:lineRule="auto"/>
      </w:pPr>
      <w:r>
        <w:t xml:space="preserve">Заместителя</w:t>
      </w:r>
      <w:r>
        <w:t xml:space="preserve"> главы администрации</w:t>
      </w:r>
      <w:r>
        <w:t xml:space="preserve">-</w:t>
      </w:r>
      <w:r/>
    </w:p>
    <w:p>
      <w:pPr>
        <w:pStyle w:val="892"/>
        <w:ind w:firstLine="0"/>
        <w:spacing w:line="240" w:lineRule="auto"/>
      </w:pPr>
      <w:r>
        <w:t xml:space="preserve">начальник</w:t>
      </w:r>
      <w:r>
        <w:t xml:space="preserve"> управления</w:t>
      </w:r>
      <w:r>
        <w:t xml:space="preserve">   </w:t>
      </w:r>
      <w:r>
        <w:t xml:space="preserve">  </w:t>
      </w:r>
      <w:r>
        <w:t xml:space="preserve">     </w:t>
      </w:r>
      <w:r>
        <w:t xml:space="preserve">          </w:t>
      </w:r>
      <w:r>
        <w:t xml:space="preserve">           </w:t>
      </w:r>
      <w:r>
        <w:t xml:space="preserve">             </w:t>
      </w:r>
      <w:r>
        <w:t xml:space="preserve">   </w:t>
      </w:r>
      <w:r>
        <w:t xml:space="preserve">      </w:t>
      </w:r>
      <w:r>
        <w:t xml:space="preserve">  </w:t>
      </w:r>
      <w:r>
        <w:t xml:space="preserve">   </w:t>
      </w:r>
      <w:r>
        <w:t xml:space="preserve">              </w:t>
      </w:r>
      <w:r>
        <w:t xml:space="preserve">     </w:t>
      </w:r>
      <w:r>
        <w:t xml:space="preserve"> </w:t>
      </w:r>
      <w:r>
        <w:t xml:space="preserve">   </w:t>
      </w:r>
      <w:r>
        <w:t xml:space="preserve">   </w:t>
      </w:r>
      <w:r>
        <w:t xml:space="preserve">   </w:t>
      </w:r>
      <w:r>
        <w:t xml:space="preserve">   Н.С. Железнова</w:t>
      </w:r>
      <w:r/>
    </w:p>
    <w:p>
      <w:pPr>
        <w:pStyle w:val="892"/>
        <w:ind w:firstLine="0"/>
        <w:spacing w:line="240" w:lineRule="auto"/>
      </w:pPr>
      <w:r/>
      <w:r/>
    </w:p>
    <w:p>
      <w:pPr>
        <w:pStyle w:val="892"/>
        <w:ind w:firstLine="0"/>
      </w:pPr>
      <w:r/>
      <w:r/>
    </w:p>
    <w:p>
      <w:pPr>
        <w:pStyle w:val="892"/>
        <w:ind w:firstLine="0"/>
      </w:pPr>
      <w:r/>
      <w:r/>
    </w:p>
    <w:p>
      <w:pPr>
        <w:pStyle w:val="892"/>
        <w:ind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Чернецкая Софья Константиновна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92"/>
        <w:ind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3-</w:t>
      </w:r>
      <w:r>
        <w:rPr>
          <w:sz w:val="22"/>
          <w:szCs w:val="22"/>
        </w:rPr>
        <w:t xml:space="preserve">81-69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92"/>
        <w:ind w:firstLine="0"/>
        <w:spacing w:line="276" w:lineRule="auto"/>
      </w:pPr>
      <w:r/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709" w:right="851" w:bottom="993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Wingdings">
    <w:panose1 w:val="05000000000000000000"/>
  </w:font>
  <w:font w:name="Liberation Sans">
    <w:panose1 w:val="020B060402020202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rPr>
        <w:rStyle w:val="894"/>
      </w:rPr>
      <w:framePr w:wrap="around" w:vAnchor="text" w:hAnchor="margin" w:xAlign="center" w:y="1"/>
    </w:pPr>
    <w:r>
      <w:rPr>
        <w:rStyle w:val="894"/>
      </w:rPr>
      <w:fldChar w:fldCharType="begin"/>
    </w:r>
    <w:r>
      <w:rPr>
        <w:rStyle w:val="894"/>
      </w:rPr>
      <w:instrText xml:space="preserve">PAGE  </w:instrText>
    </w:r>
    <w:r>
      <w:rPr>
        <w:rStyle w:val="894"/>
      </w:rPr>
      <w:fldChar w:fldCharType="separate"/>
    </w:r>
    <w:r>
      <w:rPr>
        <w:rStyle w:val="894"/>
      </w:rPr>
      <w:t xml:space="preserve">2</w:t>
    </w:r>
    <w:r>
      <w:rPr>
        <w:rStyle w:val="894"/>
      </w:rPr>
      <w:fldChar w:fldCharType="end"/>
    </w:r>
    <w:r>
      <w:rPr>
        <w:rStyle w:val="894"/>
      </w:rPr>
    </w:r>
    <w:r>
      <w:rPr>
        <w:rStyle w:val="894"/>
      </w:rPr>
    </w:r>
  </w:p>
  <w:p>
    <w:pPr>
      <w:pStyle w:val="89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rPr>
        <w:rStyle w:val="894"/>
      </w:rPr>
      <w:framePr w:wrap="around" w:vAnchor="text" w:hAnchor="margin" w:xAlign="center" w:y="1"/>
    </w:pPr>
    <w:r>
      <w:rPr>
        <w:rStyle w:val="894"/>
      </w:rPr>
      <w:fldChar w:fldCharType="begin"/>
    </w:r>
    <w:r>
      <w:rPr>
        <w:rStyle w:val="894"/>
      </w:rPr>
      <w:instrText xml:space="preserve">PAGE  </w:instrText>
    </w:r>
    <w:r>
      <w:rPr>
        <w:rStyle w:val="894"/>
      </w:rPr>
      <w:fldChar w:fldCharType="end"/>
    </w:r>
    <w:r>
      <w:rPr>
        <w:rStyle w:val="894"/>
      </w:rPr>
    </w:r>
    <w:r>
      <w:rPr>
        <w:rStyle w:val="894"/>
      </w:rPr>
    </w:r>
  </w:p>
  <w:p>
    <w:pPr>
      <w:pStyle w:val="89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>
    <w:name w:val="Heading 1"/>
    <w:basedOn w:val="883"/>
    <w:next w:val="883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6">
    <w:name w:val="Heading 1 Char"/>
    <w:link w:val="705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83"/>
    <w:next w:val="883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link w:val="707"/>
    <w:uiPriority w:val="9"/>
    <w:rPr>
      <w:rFonts w:ascii="Arial" w:hAnsi="Arial" w:eastAsia="Arial" w:cs="Arial"/>
      <w:sz w:val="34"/>
    </w:rPr>
  </w:style>
  <w:style w:type="paragraph" w:styleId="709">
    <w:name w:val="Heading 3"/>
    <w:basedOn w:val="883"/>
    <w:next w:val="883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link w:val="709"/>
    <w:uiPriority w:val="9"/>
    <w:rPr>
      <w:rFonts w:ascii="Arial" w:hAnsi="Arial" w:eastAsia="Arial" w:cs="Arial"/>
      <w:sz w:val="30"/>
      <w:szCs w:val="30"/>
    </w:rPr>
  </w:style>
  <w:style w:type="paragraph" w:styleId="711">
    <w:name w:val="Heading 4"/>
    <w:basedOn w:val="883"/>
    <w:next w:val="883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link w:val="711"/>
    <w:uiPriority w:val="9"/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83"/>
    <w:next w:val="883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link w:val="713"/>
    <w:uiPriority w:val="9"/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83"/>
    <w:next w:val="883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link w:val="715"/>
    <w:uiPriority w:val="9"/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83"/>
    <w:next w:val="883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83"/>
    <w:next w:val="883"/>
    <w:link w:val="7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link w:val="719"/>
    <w:uiPriority w:val="9"/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83"/>
    <w:next w:val="883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23">
    <w:name w:val="List Paragraph"/>
    <w:basedOn w:val="883"/>
    <w:uiPriority w:val="34"/>
    <w:qFormat/>
    <w:pPr>
      <w:contextualSpacing/>
      <w:ind w:left="720"/>
    </w:pPr>
  </w:style>
  <w:style w:type="paragraph" w:styleId="724">
    <w:name w:val="No Spacing"/>
    <w:uiPriority w:val="1"/>
    <w:qFormat/>
    <w:pPr>
      <w:spacing w:before="0" w:after="0" w:line="240" w:lineRule="auto"/>
    </w:pPr>
  </w:style>
  <w:style w:type="paragraph" w:styleId="725">
    <w:name w:val="Title"/>
    <w:basedOn w:val="883"/>
    <w:next w:val="883"/>
    <w:link w:val="72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6">
    <w:name w:val="Title Char"/>
    <w:link w:val="725"/>
    <w:uiPriority w:val="10"/>
    <w:rPr>
      <w:sz w:val="48"/>
      <w:szCs w:val="48"/>
    </w:rPr>
  </w:style>
  <w:style w:type="paragraph" w:styleId="727">
    <w:name w:val="Subtitle"/>
    <w:basedOn w:val="883"/>
    <w:next w:val="883"/>
    <w:link w:val="728"/>
    <w:uiPriority w:val="11"/>
    <w:qFormat/>
    <w:pPr>
      <w:spacing w:before="200" w:after="200"/>
    </w:pPr>
    <w:rPr>
      <w:sz w:val="24"/>
      <w:szCs w:val="24"/>
    </w:rPr>
  </w:style>
  <w:style w:type="character" w:styleId="728">
    <w:name w:val="Subtitle Char"/>
    <w:link w:val="727"/>
    <w:uiPriority w:val="11"/>
    <w:rPr>
      <w:sz w:val="24"/>
      <w:szCs w:val="24"/>
    </w:rPr>
  </w:style>
  <w:style w:type="paragraph" w:styleId="729">
    <w:name w:val="Quote"/>
    <w:basedOn w:val="883"/>
    <w:next w:val="883"/>
    <w:link w:val="730"/>
    <w:uiPriority w:val="29"/>
    <w:qFormat/>
    <w:pPr>
      <w:ind w:left="720" w:right="720"/>
    </w:pPr>
    <w:rPr>
      <w:i/>
    </w:rPr>
  </w:style>
  <w:style w:type="character" w:styleId="730">
    <w:name w:val="Quote Char"/>
    <w:link w:val="729"/>
    <w:uiPriority w:val="29"/>
    <w:rPr>
      <w:i/>
    </w:rPr>
  </w:style>
  <w:style w:type="paragraph" w:styleId="731">
    <w:name w:val="Intense Quote"/>
    <w:basedOn w:val="883"/>
    <w:next w:val="883"/>
    <w:link w:val="73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2">
    <w:name w:val="Intense Quote Char"/>
    <w:link w:val="731"/>
    <w:uiPriority w:val="30"/>
    <w:rPr>
      <w:i/>
    </w:rPr>
  </w:style>
  <w:style w:type="paragraph" w:styleId="733">
    <w:name w:val="Header"/>
    <w:basedOn w:val="883"/>
    <w:link w:val="7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4">
    <w:name w:val="Header Char"/>
    <w:link w:val="733"/>
    <w:uiPriority w:val="99"/>
  </w:style>
  <w:style w:type="paragraph" w:styleId="735">
    <w:name w:val="Footer"/>
    <w:basedOn w:val="883"/>
    <w:link w:val="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6">
    <w:name w:val="Footer Char"/>
    <w:link w:val="735"/>
    <w:uiPriority w:val="99"/>
  </w:style>
  <w:style w:type="paragraph" w:styleId="737">
    <w:name w:val="Caption"/>
    <w:basedOn w:val="883"/>
    <w:next w:val="883"/>
    <w:link w:val="7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8">
    <w:name w:val="Caption Char"/>
    <w:link w:val="737"/>
    <w:uiPriority w:val="35"/>
    <w:rPr>
      <w:b/>
      <w:bCs/>
      <w:color w:val="4f81bd" w:themeColor="accent1"/>
      <w:sz w:val="18"/>
      <w:szCs w:val="18"/>
    </w:rPr>
  </w:style>
  <w:style w:type="table" w:styleId="73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5">
    <w:name w:val="Hyperlink"/>
    <w:uiPriority w:val="99"/>
    <w:unhideWhenUsed/>
    <w:rPr>
      <w:color w:val="0000ff" w:themeColor="hyperlink"/>
      <w:u w:val="single"/>
    </w:rPr>
  </w:style>
  <w:style w:type="paragraph" w:styleId="866">
    <w:name w:val="footnote text"/>
    <w:basedOn w:val="883"/>
    <w:link w:val="867"/>
    <w:uiPriority w:val="99"/>
    <w:semiHidden/>
    <w:unhideWhenUsed/>
    <w:pPr>
      <w:spacing w:after="40" w:line="240" w:lineRule="auto"/>
    </w:pPr>
    <w:rPr>
      <w:sz w:val="18"/>
    </w:rPr>
  </w:style>
  <w:style w:type="character" w:styleId="867">
    <w:name w:val="Footnote Text Char"/>
    <w:link w:val="866"/>
    <w:uiPriority w:val="99"/>
    <w:rPr>
      <w:sz w:val="18"/>
    </w:rPr>
  </w:style>
  <w:style w:type="character" w:styleId="868">
    <w:name w:val="footnote reference"/>
    <w:uiPriority w:val="99"/>
    <w:unhideWhenUsed/>
    <w:rPr>
      <w:vertAlign w:val="superscript"/>
    </w:rPr>
  </w:style>
  <w:style w:type="paragraph" w:styleId="869">
    <w:name w:val="endnote text"/>
    <w:basedOn w:val="883"/>
    <w:link w:val="870"/>
    <w:uiPriority w:val="99"/>
    <w:semiHidden/>
    <w:unhideWhenUsed/>
    <w:pPr>
      <w:spacing w:after="0" w:line="240" w:lineRule="auto"/>
    </w:pPr>
    <w:rPr>
      <w:sz w:val="20"/>
    </w:rPr>
  </w:style>
  <w:style w:type="character" w:styleId="870">
    <w:name w:val="Endnote Text Char"/>
    <w:link w:val="869"/>
    <w:uiPriority w:val="99"/>
    <w:rPr>
      <w:sz w:val="20"/>
    </w:rPr>
  </w:style>
  <w:style w:type="character" w:styleId="871">
    <w:name w:val="endnote reference"/>
    <w:uiPriority w:val="99"/>
    <w:semiHidden/>
    <w:unhideWhenUsed/>
    <w:rPr>
      <w:vertAlign w:val="superscript"/>
    </w:rPr>
  </w:style>
  <w:style w:type="paragraph" w:styleId="872">
    <w:name w:val="toc 1"/>
    <w:basedOn w:val="883"/>
    <w:next w:val="883"/>
    <w:uiPriority w:val="39"/>
    <w:unhideWhenUsed/>
    <w:pPr>
      <w:ind w:left="0" w:right="0" w:firstLine="0"/>
      <w:spacing w:after="57"/>
    </w:pPr>
  </w:style>
  <w:style w:type="paragraph" w:styleId="873">
    <w:name w:val="toc 2"/>
    <w:basedOn w:val="883"/>
    <w:next w:val="883"/>
    <w:uiPriority w:val="39"/>
    <w:unhideWhenUsed/>
    <w:pPr>
      <w:ind w:left="283" w:right="0" w:firstLine="0"/>
      <w:spacing w:after="57"/>
    </w:pPr>
  </w:style>
  <w:style w:type="paragraph" w:styleId="874">
    <w:name w:val="toc 3"/>
    <w:basedOn w:val="883"/>
    <w:next w:val="883"/>
    <w:uiPriority w:val="39"/>
    <w:unhideWhenUsed/>
    <w:pPr>
      <w:ind w:left="567" w:right="0" w:firstLine="0"/>
      <w:spacing w:after="57"/>
    </w:pPr>
  </w:style>
  <w:style w:type="paragraph" w:styleId="875">
    <w:name w:val="toc 4"/>
    <w:basedOn w:val="883"/>
    <w:next w:val="883"/>
    <w:uiPriority w:val="39"/>
    <w:unhideWhenUsed/>
    <w:pPr>
      <w:ind w:left="850" w:right="0" w:firstLine="0"/>
      <w:spacing w:after="57"/>
    </w:pPr>
  </w:style>
  <w:style w:type="paragraph" w:styleId="876">
    <w:name w:val="toc 5"/>
    <w:basedOn w:val="883"/>
    <w:next w:val="883"/>
    <w:uiPriority w:val="39"/>
    <w:unhideWhenUsed/>
    <w:pPr>
      <w:ind w:left="1134" w:right="0" w:firstLine="0"/>
      <w:spacing w:after="57"/>
    </w:pPr>
  </w:style>
  <w:style w:type="paragraph" w:styleId="877">
    <w:name w:val="toc 6"/>
    <w:basedOn w:val="883"/>
    <w:next w:val="883"/>
    <w:uiPriority w:val="39"/>
    <w:unhideWhenUsed/>
    <w:pPr>
      <w:ind w:left="1417" w:right="0" w:firstLine="0"/>
      <w:spacing w:after="57"/>
    </w:pPr>
  </w:style>
  <w:style w:type="paragraph" w:styleId="878">
    <w:name w:val="toc 7"/>
    <w:basedOn w:val="883"/>
    <w:next w:val="883"/>
    <w:uiPriority w:val="39"/>
    <w:unhideWhenUsed/>
    <w:pPr>
      <w:ind w:left="1701" w:right="0" w:firstLine="0"/>
      <w:spacing w:after="57"/>
    </w:pPr>
  </w:style>
  <w:style w:type="paragraph" w:styleId="879">
    <w:name w:val="toc 8"/>
    <w:basedOn w:val="883"/>
    <w:next w:val="883"/>
    <w:uiPriority w:val="39"/>
    <w:unhideWhenUsed/>
    <w:pPr>
      <w:ind w:left="1984" w:right="0" w:firstLine="0"/>
      <w:spacing w:after="57"/>
    </w:pPr>
  </w:style>
  <w:style w:type="paragraph" w:styleId="880">
    <w:name w:val="toc 9"/>
    <w:basedOn w:val="883"/>
    <w:next w:val="883"/>
    <w:uiPriority w:val="39"/>
    <w:unhideWhenUsed/>
    <w:pPr>
      <w:ind w:left="2268" w:right="0" w:firstLine="0"/>
      <w:spacing w:after="57"/>
    </w:pPr>
  </w:style>
  <w:style w:type="paragraph" w:styleId="881">
    <w:name w:val="TOC Heading"/>
    <w:uiPriority w:val="39"/>
    <w:unhideWhenUsed/>
  </w:style>
  <w:style w:type="paragraph" w:styleId="882">
    <w:name w:val="table of figures"/>
    <w:basedOn w:val="883"/>
    <w:next w:val="883"/>
    <w:uiPriority w:val="99"/>
    <w:unhideWhenUsed/>
    <w:pPr>
      <w:spacing w:after="0" w:afterAutospacing="0"/>
    </w:pPr>
  </w:style>
  <w:style w:type="paragraph" w:styleId="883" w:default="1">
    <w:name w:val="Normal"/>
    <w:next w:val="883"/>
    <w:link w:val="883"/>
    <w:qFormat/>
    <w:rPr>
      <w:sz w:val="24"/>
      <w:szCs w:val="24"/>
      <w:lang w:val="ru-RU" w:eastAsia="ru-RU" w:bidi="ar-SA"/>
    </w:rPr>
  </w:style>
  <w:style w:type="paragraph" w:styleId="884">
    <w:name w:val="Заголовок 1"/>
    <w:basedOn w:val="883"/>
    <w:next w:val="883"/>
    <w:link w:val="883"/>
    <w:qFormat/>
    <w:pPr>
      <w:jc w:val="center"/>
      <w:keepNext/>
      <w:outlineLvl w:val="0"/>
    </w:pPr>
    <w:rPr>
      <w:b/>
      <w:sz w:val="32"/>
      <w:szCs w:val="20"/>
    </w:rPr>
  </w:style>
  <w:style w:type="paragraph" w:styleId="885">
    <w:name w:val="Заголовок 2"/>
    <w:basedOn w:val="883"/>
    <w:next w:val="883"/>
    <w:link w:val="883"/>
    <w:qFormat/>
    <w:pPr>
      <w:jc w:val="center"/>
      <w:keepNext/>
      <w:outlineLvl w:val="1"/>
    </w:pPr>
    <w:rPr>
      <w:sz w:val="36"/>
      <w:szCs w:val="20"/>
    </w:rPr>
  </w:style>
  <w:style w:type="paragraph" w:styleId="886">
    <w:name w:val="Заголовок 4"/>
    <w:basedOn w:val="883"/>
    <w:next w:val="883"/>
    <w:link w:val="883"/>
    <w:qFormat/>
    <w:pPr>
      <w:jc w:val="center"/>
      <w:keepNext/>
      <w:outlineLvl w:val="3"/>
    </w:pPr>
    <w:rPr>
      <w:b/>
      <w:szCs w:val="20"/>
    </w:rPr>
  </w:style>
  <w:style w:type="character" w:styleId="887">
    <w:name w:val="Основной шрифт абзаца"/>
    <w:next w:val="887"/>
    <w:link w:val="883"/>
    <w:semiHidden/>
  </w:style>
  <w:style w:type="table" w:styleId="888">
    <w:name w:val="Обычная таблица"/>
    <w:next w:val="888"/>
    <w:link w:val="883"/>
    <w:semiHidden/>
    <w:tblPr/>
  </w:style>
  <w:style w:type="numbering" w:styleId="889">
    <w:name w:val="Нет списка"/>
    <w:next w:val="889"/>
    <w:link w:val="883"/>
    <w:semiHidden/>
  </w:style>
  <w:style w:type="character" w:styleId="890">
    <w:name w:val="Гиперссылка"/>
    <w:next w:val="890"/>
    <w:link w:val="883"/>
    <w:rPr>
      <w:color w:val="auto"/>
      <w:u w:val="none"/>
      <w:vertAlign w:val="baseline"/>
    </w:rPr>
  </w:style>
  <w:style w:type="paragraph" w:styleId="891">
    <w:name w:val="Верхний колонтитул"/>
    <w:basedOn w:val="883"/>
    <w:next w:val="891"/>
    <w:link w:val="883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paragraph" w:styleId="892">
    <w:name w:val="Основной текст с отступом 2"/>
    <w:basedOn w:val="883"/>
    <w:next w:val="892"/>
    <w:link w:val="897"/>
    <w:pPr>
      <w:ind w:firstLine="540"/>
      <w:jc w:val="both"/>
      <w:spacing w:line="360" w:lineRule="auto"/>
    </w:pPr>
  </w:style>
  <w:style w:type="paragraph" w:styleId="893">
    <w:name w:val="Основной текст с отступом"/>
    <w:basedOn w:val="883"/>
    <w:next w:val="893"/>
    <w:link w:val="883"/>
    <w:pPr>
      <w:ind w:left="283"/>
      <w:spacing w:after="120"/>
    </w:pPr>
  </w:style>
  <w:style w:type="character" w:styleId="894">
    <w:name w:val="Номер страницы"/>
    <w:basedOn w:val="887"/>
    <w:next w:val="894"/>
    <w:link w:val="883"/>
  </w:style>
  <w:style w:type="paragraph" w:styleId="895">
    <w:name w:val="Текст выноски"/>
    <w:basedOn w:val="883"/>
    <w:next w:val="895"/>
    <w:link w:val="883"/>
    <w:semiHidden/>
    <w:rPr>
      <w:rFonts w:ascii="Tahoma" w:hAnsi="Tahoma" w:cs="Tahoma"/>
      <w:sz w:val="16"/>
      <w:szCs w:val="16"/>
    </w:rPr>
  </w:style>
  <w:style w:type="paragraph" w:styleId="896">
    <w:name w:val="Знак"/>
    <w:basedOn w:val="883"/>
    <w:next w:val="896"/>
    <w:link w:val="883"/>
    <w:pPr>
      <w:spacing w:after="160" w:line="240" w:lineRule="exact"/>
    </w:pPr>
    <w:rPr>
      <w:rFonts w:ascii="Verdana" w:hAnsi="Verdana"/>
      <w:lang w:val="en-US" w:eastAsia="en-US"/>
    </w:rPr>
  </w:style>
  <w:style w:type="character" w:styleId="897">
    <w:name w:val="Основной текст с отступом 2 Знак"/>
    <w:next w:val="897"/>
    <w:link w:val="892"/>
    <w:rPr>
      <w:sz w:val="24"/>
      <w:szCs w:val="24"/>
    </w:rPr>
  </w:style>
  <w:style w:type="character" w:styleId="898" w:default="1">
    <w:name w:val="Default Paragraph Font"/>
    <w:uiPriority w:val="1"/>
    <w:semiHidden/>
    <w:unhideWhenUsed/>
  </w:style>
  <w:style w:type="numbering" w:styleId="899" w:default="1">
    <w:name w:val="No List"/>
    <w:uiPriority w:val="99"/>
    <w:semiHidden/>
    <w:unhideWhenUsed/>
  </w:style>
  <w:style w:type="table" w:styleId="900" w:default="1">
    <w:name w:val="Normal Table"/>
    <w:uiPriority w:val="99"/>
    <w:semiHidden/>
    <w:unhideWhenUsed/>
    <w:tblPr/>
  </w:style>
  <w:style w:type="paragraph" w:styleId="901" w:customStyle="1">
    <w:name w:val="Body Text"/>
    <w:basedOn w:val="870"/>
    <w:link w:val="887"/>
    <w:semiHidden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КУМИ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chernetskaya</cp:lastModifiedBy>
  <cp:revision>10</cp:revision>
  <dcterms:created xsi:type="dcterms:W3CDTF">2024-06-19T05:07:00Z</dcterms:created>
  <dcterms:modified xsi:type="dcterms:W3CDTF">2026-07-27T08:14:02Z</dcterms:modified>
  <cp:version>983040</cp:version>
</cp:coreProperties>
</file>